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ook w:firstColumn="1" w:firstRow="1" w:lastColumn="0" w:lastRow="0" w:noHBand="0" w:noVBand="1" w:val="04A0"/>
      </w:tblPr>
      <w:tblGrid>
        <w:gridCol w:w="8640"/>
      </w:tblGrid>
      <w:tr>
        <w:tc>
          <w:tcPr>
            <w:tcW w:type="dxa" w:w="8640"/>
            <w:shd w:val="clear" w:color="auto" w:fill="0A192F"/>
            <w:tcBorders>
              <w:top w:val="single" w:sz="0" w:space="0" w:color="0A192F"/>
              <w:left w:val="single" w:sz="0" w:space="0" w:color="0A192F"/>
              <w:bottom w:val="single" w:sz="0" w:space="0" w:color="0A192F"/>
              <w:right w:val="single" w:sz="0" w:space="0" w:color="0A192F"/>
            </w:tcBorders>
          </w:tcPr>
          <w:p>
            <w:r>
              <w:rPr>
                <w:sz w:val="32"/>
              </w:rPr>
              <w:t xml:space="preserve">  </w:t>
            </w:r>
          </w:p>
        </w:tc>
      </w:tr>
    </w:tbl>
    <w:tbl>
      <w:tblPr>
        <w:tblW w:type="auto" w:w="0"/>
        <w:tblLook w:firstColumn="1" w:firstRow="1" w:lastColumn="0" w:lastRow="0" w:noHBand="0" w:noVBand="1" w:val="04A0"/>
      </w:tblPr>
      <w:tblGrid>
        <w:gridCol w:w="8640"/>
      </w:tblGrid>
      <w:tr>
        <w:tc>
          <w:tcPr>
            <w:tcW w:type="dxa" w:w="8640"/>
            <w:shd w:val="clear" w:color="auto" w:fill="B8956B"/>
            <w:tcBorders>
              <w:top w:val="single" w:sz="0" w:space="0" w:color="B8956B"/>
              <w:left w:val="single" w:sz="0" w:space="0" w:color="B8956B"/>
              <w:bottom w:val="single" w:sz="0" w:space="0" w:color="B8956B"/>
              <w:right w:val="single" w:sz="0" w:space="0" w:color="B8956B"/>
            </w:tcBorders>
          </w:tcPr>
          <w:p>
            <w:r>
              <w:rPr>
                <w:sz w:val="6"/>
              </w:rPr>
              <w:t xml:space="preserve"> </w:t>
            </w:r>
          </w:p>
        </w:tc>
      </w:tr>
    </w:tbl>
    <w:p/>
    <w:p/>
    <w:p/>
    <w:p>
      <w:pPr>
        <w:spacing w:after="160"/>
        <w:jc w:val="left"/>
      </w:pPr>
      <w:r>
        <w:rPr>
          <w:rFonts w:ascii="Calibri" w:hAnsi="Calibri"/>
          <w:b/>
          <w:color w:val="B8956B"/>
          <w:sz w:val="18"/>
        </w:rPr>
        <w:t>PROPOSAL</w:t>
      </w:r>
    </w:p>
    <w:p>
      <w:pPr>
        <w:spacing w:after="200"/>
        <w:jc w:val="left"/>
        <w:bidi w:val="1"/>
      </w:pPr>
      <w:r>
        <w:rPr>
          <w:rFonts w:ascii="Calibri" w:hAnsi="Calibri"/>
          <w:b/>
          <w:color w:val="0A192F"/>
          <w:sz w:val="56"/>
          <w:rtl w:val="1"/>
        </w:rPr>
        <w:t>مسار — منصة ذكية لتوجيه الشباب نحو الفرص</w:t>
      </w:r>
    </w:p>
    <w:p>
      <w:pPr>
        <w:pBdr>
          <w:bottom w:val="single" w:sz="18" w:space="1" w:color="B8956B"/>
        </w:pBdr>
        <w:spacing w:after="280"/>
      </w:pPr>
    </w:p>
    <w:p>
      <w:pPr>
        <w:spacing w:after="360"/>
        <w:jc w:val="left"/>
        <w:bidi w:val="1"/>
      </w:pPr>
      <w:r>
        <w:rPr>
          <w:rFonts w:ascii="Calibri" w:hAnsi="Calibri"/>
          <w:color w:val="1B3A5F"/>
          <w:sz w:val="26"/>
          <w:rtl w:val="1"/>
        </w:rPr>
        <w:t>تقرير فكرة مشروع | سلطنة عُمان | أغسطس 2026</w:t>
      </w:r>
    </w:p>
    <w:tbl>
      <w:tblPr>
        <w:tblW w:type="auto" w:w="0"/>
        <w:tblLook w:firstColumn="1" w:firstRow="1" w:lastColumn="0" w:lastRow="0" w:noHBand="0" w:noVBand="1" w:val="04A0"/>
      </w:tblPr>
      <w:tblGrid>
        <w:gridCol w:w="2880"/>
        <w:gridCol w:w="2880"/>
        <w:gridCol w:w="2880"/>
      </w:tblGrid>
      <w:tr>
        <w:tc>
          <w:tcPr>
            <w:tcW w:type="dxa" w:w="2880"/>
            <w:shd w:val="clear" w:color="auto" w:fill="F7F5F0"/>
            <w:tcBorders>
              <w:top w:val="single" w:sz="4" w:space="0" w:color="E8E2D9"/>
              <w:left w:val="single" w:sz="4" w:space="0" w:color="E8E2D9"/>
              <w:bottom w:val="single" w:sz="4" w:space="0" w:color="E8E2D9"/>
              <w:right w:val="single" w:sz="4" w:space="0" w:color="E8E2D9"/>
            </w:tcBorders>
          </w:tcPr>
          <w:p>
            <w:r/>
            <w:r>
              <w:rPr>
                <w:rFonts w:ascii="Calibri" w:hAnsi="Calibri"/>
                <w:b/>
                <w:color w:val="B8956B"/>
                <w:sz w:val="16"/>
              </w:rPr>
              <w:t>PREPARED BY</w:t>
            </w:r>
          </w:p>
          <w:p>
            <w:pPr>
              <w:jc w:val="right"/>
              <w:bidi w:val="1"/>
            </w:pPr>
            <w:r>
              <w:rPr>
                <w:rFonts w:ascii="Calibri" w:hAnsi="Calibri"/>
                <w:color w:val="0A192F"/>
                <w:sz w:val="22"/>
              </w:rPr>
              <w:t>فريق مشروع مسار</w:t>
            </w:r>
          </w:p>
        </w:tc>
        <w:tc>
          <w:tcPr>
            <w:tcW w:type="dxa" w:w="2880"/>
            <w:shd w:val="clear" w:color="auto" w:fill="F7F5F0"/>
            <w:tcBorders>
              <w:top w:val="single" w:sz="4" w:space="0" w:color="E8E2D9"/>
              <w:left w:val="single" w:sz="4" w:space="0" w:color="E8E2D9"/>
              <w:bottom w:val="single" w:sz="4" w:space="0" w:color="E8E2D9"/>
              <w:right w:val="single" w:sz="4" w:space="0" w:color="E8E2D9"/>
            </w:tcBorders>
          </w:tcPr>
          <w:p>
            <w:r/>
            <w:r>
              <w:rPr>
                <w:rFonts w:ascii="Calibri" w:hAnsi="Calibri"/>
                <w:b/>
                <w:color w:val="B8956B"/>
                <w:sz w:val="16"/>
              </w:rPr>
              <w:t>DATE</w:t>
            </w:r>
          </w:p>
          <w:p>
            <w:r>
              <w:rPr>
                <w:rFonts w:ascii="Calibri" w:hAnsi="Calibri"/>
                <w:color w:val="0A192F"/>
                <w:sz w:val="22"/>
              </w:rPr>
              <w:t>2026-08-10</w:t>
            </w:r>
          </w:p>
        </w:tc>
        <w:tc>
          <w:tcPr>
            <w:tcW w:type="dxa" w:w="2880"/>
            <w:shd w:val="clear" w:color="auto" w:fill="F7F5F0"/>
            <w:tcBorders>
              <w:top w:val="single" w:sz="4" w:space="0" w:color="E8E2D9"/>
              <w:left w:val="single" w:sz="4" w:space="0" w:color="E8E2D9"/>
              <w:bottom w:val="single" w:sz="4" w:space="0" w:color="E8E2D9"/>
              <w:right w:val="single" w:sz="4" w:space="0" w:color="E8E2D9"/>
            </w:tcBorders>
          </w:tcPr>
          <w:p>
            <w:r/>
            <w:r>
              <w:rPr>
                <w:rFonts w:ascii="Calibri" w:hAnsi="Calibri"/>
                <w:b/>
                <w:color w:val="B8956B"/>
                <w:sz w:val="16"/>
              </w:rPr>
              <w:t>STATUS</w:t>
            </w:r>
          </w:p>
          <w:p>
            <w:r>
              <w:rPr>
                <w:rFonts w:ascii="Calibri" w:hAnsi="Calibri"/>
                <w:color w:val="0A192F"/>
                <w:sz w:val="22"/>
              </w:rPr>
              <w:t>Confidential</w:t>
            </w:r>
          </w:p>
        </w:tc>
      </w:tr>
    </w:tbl>
    <w:p>
      <w:pPr>
        <w:spacing w:before="480"/>
      </w:pPr>
    </w:p>
    <w:p>
      <w:r>
        <w:br w:type="page"/>
      </w:r>
    </w:p>
    <w:p>
      <w:pPr>
        <w:pStyle w:val="Heading1"/>
        <w:spacing w:before="360" w:after="160"/>
        <w:jc w:val="right"/>
        <w:keepNext/>
        <w:bidi w:val="1"/>
        <w:pBdr>
          <w:bottom w:val="single" w:sz="12" w:space="6" w:color="B8956B"/>
        </w:pBdr>
      </w:pPr>
      <w:r>
        <w:rPr>
          <w:rFonts w:ascii="Calibri" w:hAnsi="Calibri"/>
          <w:b/>
          <w:color w:val="0A192F"/>
          <w:sz w:val="44"/>
          <w:rtl w:val="1"/>
        </w:rPr>
        <w:t>الملخص التنفيذي</w:t>
      </w:r>
    </w:p>
    <w:tbl>
      <w:tblPr>
        <w:tblW w:type="auto" w:w="0"/>
        <w:tblLook w:firstColumn="1" w:firstRow="1" w:lastColumn="0" w:lastRow="0" w:noHBand="0" w:noVBand="1" w:val="04A0"/>
      </w:tblPr>
      <w:tblGrid>
        <w:gridCol w:w="8640"/>
      </w:tblGrid>
      <w:tr>
        <w:tc>
          <w:tcPr>
            <w:tcW w:type="dxa" w:w="8640"/>
            <w:shd w:val="clear" w:color="auto" w:fill="F7F5F0"/>
            <w:tcBorders>
              <w:top w:val="single" w:sz="4" w:space="0" w:color="F7F5F0"/>
              <w:left w:val="single" w:sz="24" w:space="0" w:color="B8956B"/>
              <w:bottom w:val="single" w:sz="4" w:space="0" w:color="F7F5F0"/>
              <w:right w:val="single" w:sz="4" w:space="0" w:color="F7F5F0"/>
            </w:tcBorders>
          </w:tcPr>
          <w:p>
            <w:pPr>
              <w:spacing w:before="120" w:after="120"/>
              <w:jc w:val="right"/>
              <w:bidi w:val="1"/>
            </w:pPr>
            <w:r>
              <w:rPr>
                <w:rFonts w:ascii="Calibri" w:hAnsi="Calibri"/>
                <w:b/>
                <w:color w:val="B8956B"/>
                <w:sz w:val="18"/>
              </w:rPr>
              <w:t xml:space="preserve">INFO  </w:t>
            </w:r>
            <w:r>
              <w:rPr>
                <w:rFonts w:ascii="Calibri" w:hAnsi="Calibri"/>
                <w:color w:val="1A202C"/>
                <w:sz w:val="20"/>
                <w:rtl w:val="1"/>
              </w:rPr>
              <w:t>الأرقام الأساسية: الفئة المستهدفة: الشباب (15–30 سنة) | النسخة الأولية (MVP): خلال 3 أشهر | نموذج الإيرادات: اشتراك مميز للمستخدمين + اشتراكات للجهات + شراكات</w:t>
            </w:r>
          </w:p>
        </w:tc>
      </w:tr>
    </w:tbl>
    <w:p>
      <w:pPr>
        <w:spacing w:after="80"/>
      </w:pPr>
    </w:p>
    <w:p>
      <w:pPr>
        <w:spacing w:after="160" w:line="276" w:lineRule="auto"/>
        <w:jc w:val="right"/>
        <w:bidi w:val="1"/>
      </w:pPr>
      <w:r>
        <w:rPr>
          <w:rFonts w:ascii="Calibri" w:hAnsi="Calibri"/>
          <w:color w:val="1A202C"/>
          <w:sz w:val="22"/>
          <w:rtl w:val="1"/>
        </w:rPr>
        <w:t>كثير من الشباب يملكون مهارات وأفكارًا جيدة، لكنهم يقفون أمام سؤال واحد: «من أين أبدأ؟» فلا يعرفون أي دورة تناسبهم، ولا المهارة المطلوبة لدخول المجال الذي يريدونه، ولا طريقة بناء سيرة ذاتية (CV) مقنعة، ولا كيفية الوصول إلى فرص التدريب والتطوع. وفي المقابل، توجد فرص كثيرة، لكنها موزعة بين منصات وحسابات متفرقة، ما يجعل الوصول إليها صعبًا وغير منظم.</w:t>
      </w:r>
    </w:p>
    <w:p>
      <w:pPr>
        <w:spacing w:after="160" w:line="276" w:lineRule="auto"/>
        <w:jc w:val="right"/>
        <w:bidi w:val="1"/>
      </w:pPr>
      <w:r>
        <w:rPr>
          <w:rFonts w:ascii="Calibri" w:hAnsi="Calibri"/>
          <w:color w:val="1A202C"/>
          <w:sz w:val="22"/>
          <w:rtl w:val="1"/>
        </w:rPr>
        <w:t>تقدّم منصة «مسار» حلاً لهذه الفجوة: منصة ذكية يدخل فيها الشاب بياناته الأساسية (العمر، المستوى الدراسي، المهارات الحالية، الاهتمامات، المجال المطلوب، الوقت المتاح)، فيبني له الذكاء الاصطناعي خريطة طريق شخصية شهرًا بشهر، ويجمّع له الدورات والمسابقات والمعسكرات وفرص التطوع والتدريب المناسبة لمستواه. بدل أن تكون المنصة مجرد قائمة فرص، تجيب على السؤال الجوهري: «أنا وين الآن؟ وإيش الخطوة التالية عشان أوصل لهدفي؟»</w:t>
      </w:r>
    </w:p>
    <w:p>
      <w:pPr>
        <w:spacing w:after="160" w:line="276" w:lineRule="auto"/>
        <w:jc w:val="right"/>
        <w:bidi w:val="1"/>
      </w:pPr>
      <w:r>
        <w:rPr>
          <w:rFonts w:ascii="Calibri" w:hAnsi="Calibri"/>
          <w:color w:val="1A202C"/>
          <w:sz w:val="22"/>
          <w:rtl w:val="1"/>
        </w:rPr>
        <w:t>التوصية: البدء بنموذج أولي بسيط خلال ثلاثة أشهر، واختباره مع مجموعة بيتا من 100 إلى 200 مستخدم قبل أي استثمار كبير، مع بناء الشراكات مع المؤسسات التعليمية والجهات من اليوم الأول.</w:t>
      </w:r>
    </w:p>
    <w:p>
      <w:pPr>
        <w:pBdr>
          <w:bottom w:val="single" w:sz="6" w:space="1" w:color="B8956B"/>
        </w:pBdr>
        <w:spacing w:before="160" w:after="160"/>
      </w:pPr>
    </w:p>
    <w:p>
      <w:pPr>
        <w:pStyle w:val="Heading1"/>
        <w:spacing w:before="360" w:after="160"/>
        <w:jc w:val="right"/>
        <w:keepNext/>
        <w:bidi w:val="1"/>
        <w:pBdr>
          <w:bottom w:val="single" w:sz="12" w:space="6" w:color="B8956B"/>
        </w:pBdr>
      </w:pPr>
      <w:r>
        <w:rPr>
          <w:rFonts w:ascii="Calibri" w:hAnsi="Calibri"/>
          <w:b/>
          <w:color w:val="0A192F"/>
          <w:sz w:val="44"/>
          <w:rtl w:val="1"/>
        </w:rPr>
        <w:t>المشكلة: فجوة التوجيه لدى الشباب</w:t>
      </w:r>
    </w:p>
    <w:p>
      <w:pPr>
        <w:spacing w:after="160" w:line="276" w:lineRule="auto"/>
        <w:jc w:val="right"/>
        <w:bidi w:val="1"/>
      </w:pPr>
      <w:r>
        <w:rPr>
          <w:rFonts w:ascii="Calibri" w:hAnsi="Calibri"/>
          <w:color w:val="1A202C"/>
          <w:sz w:val="22"/>
          <w:rtl w:val="1"/>
        </w:rPr>
        <w:t>المشكلة ليست نقص المهارات أو نقص الفرص، بل غياب جسر يربط بينهما. الشاب يملك الطاقة والوقت، لكنه يفتقر إلى خريطة واضحة وخطوات متسلسلة تتناسب مع مستواه الحالي. أبرز مظاهر هذه الفجوة:</w:t>
      </w:r>
    </w:p>
    <w:p>
      <w:pPr>
        <w:spacing w:after="60"/>
        <w:ind w:right="504"/>
        <w:jc w:val="right"/>
        <w:bidi w:val="1"/>
      </w:pPr>
      <w:r>
        <w:rPr>
          <w:rFonts w:ascii="Calibri" w:hAnsi="Calibri"/>
          <w:color w:val="1A202C"/>
          <w:sz w:val="22"/>
          <w:rtl w:val="1"/>
        </w:rPr>
        <w:t>لا يعرف أي دورة يبدأ بها ولا أي مهارة يحتاجها لدخول المجال المستهدف.</w:t>
      </w:r>
      <w:r>
        <w:rPr>
          <w:rFonts w:ascii="Calibri" w:hAnsi="Calibri"/>
          <w:color w:val="B8956B"/>
          <w:sz w:val="22"/>
        </w:rPr>
        <w:t xml:space="preserve">  •</w:t>
      </w:r>
    </w:p>
    <w:p>
      <w:pPr>
        <w:spacing w:after="60"/>
        <w:ind w:right="504"/>
        <w:jc w:val="right"/>
        <w:bidi w:val="1"/>
      </w:pPr>
      <w:r>
        <w:rPr>
          <w:rFonts w:ascii="Calibri" w:hAnsi="Calibri"/>
          <w:color w:val="1A202C"/>
          <w:sz w:val="22"/>
          <w:rtl w:val="1"/>
        </w:rPr>
        <w:t>لا يعرف كيف يبني سيرة ذاتية (CV) أو ملف أعمال (Portfolio) يفتح له الأبواب.</w:t>
      </w:r>
      <w:r>
        <w:rPr>
          <w:rFonts w:ascii="Calibri" w:hAnsi="Calibri"/>
          <w:color w:val="B8956B"/>
          <w:sz w:val="22"/>
        </w:rPr>
        <w:t xml:space="preserve">  •</w:t>
      </w:r>
    </w:p>
    <w:p>
      <w:pPr>
        <w:spacing w:after="60"/>
        <w:ind w:right="504"/>
        <w:jc w:val="right"/>
        <w:bidi w:val="1"/>
      </w:pPr>
      <w:r>
        <w:rPr>
          <w:rFonts w:ascii="Calibri" w:hAnsi="Calibri"/>
          <w:color w:val="1A202C"/>
          <w:sz w:val="22"/>
          <w:rtl w:val="1"/>
        </w:rPr>
        <w:t>لا يعرف كيف يحصل على فرصة تدريب أو تطوع تعطيه خبرة فعلية.</w:t>
      </w:r>
      <w:r>
        <w:rPr>
          <w:rFonts w:ascii="Calibri" w:hAnsi="Calibri"/>
          <w:color w:val="B8956B"/>
          <w:sz w:val="22"/>
        </w:rPr>
        <w:t xml:space="preserve">  •</w:t>
      </w:r>
    </w:p>
    <w:p>
      <w:pPr>
        <w:spacing w:after="60"/>
        <w:ind w:right="504"/>
        <w:jc w:val="right"/>
        <w:bidi w:val="1"/>
      </w:pPr>
      <w:r>
        <w:rPr>
          <w:rFonts w:ascii="Calibri" w:hAnsi="Calibri"/>
          <w:color w:val="1A202C"/>
          <w:sz w:val="22"/>
          <w:rtl w:val="1"/>
        </w:rPr>
        <w:t>الفرص المتاحة موزعة بين منصات متعددة وحسابات تواصل مختلفة، بلا تصنيف موحّد يسهّل البحث.</w:t>
      </w:r>
      <w:r>
        <w:rPr>
          <w:rFonts w:ascii="Calibri" w:hAnsi="Calibri"/>
          <w:color w:val="B8956B"/>
          <w:sz w:val="22"/>
        </w:rPr>
        <w:t xml:space="preserve">  •</w:t>
      </w:r>
    </w:p>
    <w:p>
      <w:pPr>
        <w:spacing w:after="160" w:line="276" w:lineRule="auto"/>
        <w:jc w:val="right"/>
        <w:bidi w:val="1"/>
      </w:pPr>
      <w:r>
        <w:rPr>
          <w:rFonts w:ascii="Calibri" w:hAnsi="Calibri"/>
          <w:color w:val="1A202C"/>
          <w:sz w:val="22"/>
          <w:rtl w:val="1"/>
        </w:rPr>
        <w:t>أثر هذه الفجوة مزدوج: على الشاب، إحباط وتسويف وضياع سنوات قبل إيجاد المسار الصحيح؛ وعلى الجهات (شركات ومؤسسات تعليمية)، صعوبة الوصول إلى الشباب المناسبين رغم توفر الفرص لديهم.</w:t>
      </w:r>
    </w:p>
    <w:p>
      <w:pPr>
        <w:pBdr>
          <w:bottom w:val="single" w:sz="6" w:space="1" w:color="B8956B"/>
        </w:pBdr>
        <w:spacing w:before="160" w:after="160"/>
      </w:pPr>
    </w:p>
    <w:p>
      <w:pPr>
        <w:pStyle w:val="Heading1"/>
        <w:spacing w:before="360" w:after="160"/>
        <w:jc w:val="right"/>
        <w:keepNext/>
        <w:bidi w:val="1"/>
        <w:pBdr>
          <w:bottom w:val="single" w:sz="12" w:space="6" w:color="B8956B"/>
        </w:pBdr>
      </w:pPr>
      <w:r>
        <w:rPr>
          <w:rFonts w:ascii="Calibri" w:hAnsi="Calibri"/>
          <w:b/>
          <w:color w:val="0A192F"/>
          <w:sz w:val="44"/>
          <w:rtl w:val="1"/>
        </w:rPr>
        <w:t>الحل: منصة «مسار»</w:t>
      </w:r>
    </w:p>
    <w:p>
      <w:pPr>
        <w:spacing w:after="160" w:line="276" w:lineRule="auto"/>
        <w:jc w:val="right"/>
        <w:bidi w:val="1"/>
      </w:pPr>
      <w:r>
        <w:rPr>
          <w:rFonts w:ascii="Calibri" w:hAnsi="Calibri"/>
          <w:color w:val="1A202C"/>
          <w:sz w:val="22"/>
          <w:rtl w:val="1"/>
        </w:rPr>
        <w:t>«مسار» منصة ذكية تبدأ من نقطة الصفر: المستخدم يُدخل معلوماته مرة واحدة، والذكاء الاصطناعي يبني له خريطة طريق شخصية قابلة للتحديث مع تقدّمه. خطوات الاستخدام:</w:t>
      </w:r>
    </w:p>
    <w:p>
      <w:pPr>
        <w:spacing w:after="60"/>
        <w:ind w:right="504"/>
        <w:jc w:val="right"/>
        <w:bidi w:val="1"/>
      </w:pPr>
      <w:r>
        <w:rPr>
          <w:rFonts w:ascii="Calibri" w:hAnsi="Calibri"/>
          <w:color w:val="1A202C"/>
          <w:sz w:val="22"/>
          <w:rtl w:val="1"/>
        </w:rPr>
        <w:t>إدخال العمر والمستوى الدراسي.</w:t>
      </w:r>
      <w:r>
        <w:rPr>
          <w:rFonts w:ascii="Calibri" w:hAnsi="Calibri"/>
          <w:color w:val="B8956B"/>
          <w:sz w:val="22"/>
        </w:rPr>
        <w:t xml:space="preserve">  1.</w:t>
      </w:r>
    </w:p>
    <w:p>
      <w:pPr>
        <w:spacing w:after="60"/>
        <w:ind w:right="504"/>
        <w:jc w:val="right"/>
        <w:bidi w:val="1"/>
      </w:pPr>
      <w:r>
        <w:rPr>
          <w:rFonts w:ascii="Calibri" w:hAnsi="Calibri"/>
          <w:color w:val="1A202C"/>
          <w:sz w:val="22"/>
          <w:rtl w:val="1"/>
        </w:rPr>
        <w:t>تحديد المهارات الحالية (حتى لو بسيطة).</w:t>
      </w:r>
      <w:r>
        <w:rPr>
          <w:rFonts w:ascii="Calibri" w:hAnsi="Calibri"/>
          <w:color w:val="B8956B"/>
          <w:sz w:val="22"/>
        </w:rPr>
        <w:t xml:space="preserve">  2.</w:t>
      </w:r>
    </w:p>
    <w:p>
      <w:pPr>
        <w:spacing w:after="60"/>
        <w:ind w:right="504"/>
        <w:jc w:val="right"/>
        <w:bidi w:val="1"/>
      </w:pPr>
      <w:r>
        <w:rPr>
          <w:rFonts w:ascii="Calibri" w:hAnsi="Calibri"/>
          <w:color w:val="1A202C"/>
          <w:sz w:val="22"/>
          <w:rtl w:val="1"/>
        </w:rPr>
        <w:t>تحديد الاهتمامات والمجالات التي يحبها.</w:t>
      </w:r>
      <w:r>
        <w:rPr>
          <w:rFonts w:ascii="Calibri" w:hAnsi="Calibri"/>
          <w:color w:val="B8956B"/>
          <w:sz w:val="22"/>
        </w:rPr>
        <w:t xml:space="preserve">  3.</w:t>
      </w:r>
    </w:p>
    <w:p>
      <w:pPr>
        <w:spacing w:after="60"/>
        <w:ind w:right="504"/>
        <w:jc w:val="right"/>
        <w:bidi w:val="1"/>
      </w:pPr>
      <w:r>
        <w:rPr>
          <w:rFonts w:ascii="Calibri" w:hAnsi="Calibri"/>
          <w:color w:val="1A202C"/>
          <w:sz w:val="22"/>
          <w:rtl w:val="1"/>
        </w:rPr>
        <w:t>اختيار المجال الذي يريد دخوله (مثل: الذكاء الاصطناعي، التسويق الرقمي، البرمجة، التصميم).</w:t>
      </w:r>
      <w:r>
        <w:rPr>
          <w:rFonts w:ascii="Calibri" w:hAnsi="Calibri"/>
          <w:color w:val="B8956B"/>
          <w:sz w:val="22"/>
        </w:rPr>
        <w:t xml:space="preserve">  4.</w:t>
      </w:r>
    </w:p>
    <w:p>
      <w:pPr>
        <w:spacing w:after="60"/>
        <w:ind w:right="504"/>
        <w:jc w:val="right"/>
        <w:bidi w:val="1"/>
      </w:pPr>
      <w:r>
        <w:rPr>
          <w:rFonts w:ascii="Calibri" w:hAnsi="Calibri"/>
          <w:color w:val="1A202C"/>
          <w:sz w:val="22"/>
          <w:rtl w:val="1"/>
        </w:rPr>
        <w:t>تحديد الوقت الذي يستطيع تخصيصه أسبوعيًا.</w:t>
      </w:r>
      <w:r>
        <w:rPr>
          <w:rFonts w:ascii="Calibri" w:hAnsi="Calibri"/>
          <w:color w:val="B8956B"/>
          <w:sz w:val="22"/>
        </w:rPr>
        <w:t xml:space="preserve">  5.</w:t>
      </w:r>
    </w:p>
    <w:p>
      <w:pPr>
        <w:spacing w:after="60"/>
        <w:ind w:right="504"/>
        <w:jc w:val="right"/>
        <w:bidi w:val="1"/>
      </w:pPr>
      <w:r>
        <w:rPr>
          <w:rFonts w:ascii="Calibri" w:hAnsi="Calibri"/>
          <w:color w:val="1A202C"/>
          <w:sz w:val="22"/>
          <w:rtl w:val="1"/>
        </w:rPr>
        <w:t>استلام خريطة طريق شهرية، ثم تحديثها تلقائيًا مع إنجاز كل خطوة.</w:t>
      </w:r>
      <w:r>
        <w:rPr>
          <w:rFonts w:ascii="Calibri" w:hAnsi="Calibri"/>
          <w:color w:val="B8956B"/>
          <w:sz w:val="22"/>
        </w:rPr>
        <w:t xml:space="preserve">  6.</w:t>
      </w:r>
    </w:p>
    <w:p>
      <w:pPr>
        <w:spacing w:after="160" w:line="276" w:lineRule="auto"/>
        <w:jc w:val="right"/>
        <w:bidi w:val="1"/>
      </w:pPr>
      <w:r>
        <w:rPr>
          <w:rFonts w:ascii="Calibri" w:hAnsi="Calibri"/>
          <w:color w:val="1A202C"/>
          <w:sz w:val="22"/>
          <w:rtl w:val="1"/>
        </w:rPr>
        <w:t>بعد ذلك تجمع المنصة للشاب الدورات والمسابقات والمعسكرات وفرص التطوع والتدريب المناسبة لمستواه الحالي، بحيث ينتقل من «أتعلم» إلى «أطبّق» إلى «أقدّم على فرص» في تسلسل منطقي واحد.</w:t>
      </w:r>
    </w:p>
    <w:p>
      <w:pPr>
        <w:pBdr>
          <w:bottom w:val="single" w:sz="6" w:space="1" w:color="B8956B"/>
        </w:pBdr>
        <w:spacing w:before="160" w:after="160"/>
      </w:pPr>
    </w:p>
    <w:p>
      <w:pPr>
        <w:pStyle w:val="Heading2"/>
        <w:spacing w:before="240" w:after="80"/>
        <w:jc w:val="right"/>
        <w:bidi w:val="1"/>
        <w:pBdr>
          <w:bottom w:val="single" w:sz="6" w:space="3" w:color="1B3A5F"/>
        </w:pBdr>
      </w:pPr>
      <w:r>
        <w:rPr>
          <w:rFonts w:ascii="Calibri" w:hAnsi="Calibri"/>
          <w:b/>
          <w:color w:val="1B3A5F"/>
          <w:sz w:val="30"/>
          <w:rtl w:val="1"/>
        </w:rPr>
        <w:t>مثال عملي: خريطة طريق دخول مجال الذكاء الاصطناعي</w:t>
      </w:r>
    </w:p>
    <w:tbl>
      <w:tblPr>
        <w:tblStyle w:val="TableGrid"/>
        <w:tblW w:type="auto" w:w="0"/>
        <w:tblLayout w:type="autofit"/>
        <w:tblLook w:firstColumn="1" w:firstRow="1" w:lastColumn="0" w:lastRow="0" w:noHBand="0" w:noVBand="1" w:val="04A0"/>
      </w:tblPr>
      <w:tblGrid>
        <w:gridCol w:w="2880"/>
        <w:gridCol w:w="2880"/>
        <w:gridCol w:w="2880"/>
      </w:tblGrid>
      <w:tr>
        <w:tc>
          <w:tcPr>
            <w:tcW w:type="dxa" w:w="2880"/>
            <w:shd w:val="clear" w:color="auto" w:fill="0A192F"/>
            <w:tcBorders>
              <w:top w:val="single" w:sz="4" w:space="0" w:color="0A192F"/>
              <w:left w:val="single" w:sz="4" w:space="0" w:color="0A192F"/>
              <w:bottom w:val="single" w:sz="4" w:space="0" w:color="0A192F"/>
              <w:right w:val="single" w:sz="4" w:space="0" w:color="0A192F"/>
            </w:tcBorders>
          </w:tcPr>
          <w:p>
            <w:pPr>
              <w:spacing w:before="80" w:after="80"/>
              <w:jc w:val="right"/>
              <w:bidi w:val="1"/>
            </w:pPr>
            <w:r/>
            <w:r>
              <w:rPr>
                <w:rFonts w:ascii="Calibri" w:hAnsi="Calibri"/>
                <w:b/>
                <w:color w:val="F8FAFC"/>
                <w:sz w:val="20"/>
                <w:rtl w:val="1"/>
              </w:rPr>
              <w:t>المرحلة</w:t>
            </w:r>
          </w:p>
        </w:tc>
        <w:tc>
          <w:tcPr>
            <w:tcW w:type="dxa" w:w="2880"/>
            <w:shd w:val="clear" w:color="auto" w:fill="0A192F"/>
            <w:tcBorders>
              <w:top w:val="single" w:sz="4" w:space="0" w:color="0A192F"/>
              <w:left w:val="single" w:sz="4" w:space="0" w:color="0A192F"/>
              <w:bottom w:val="single" w:sz="4" w:space="0" w:color="0A192F"/>
              <w:right w:val="single" w:sz="4" w:space="0" w:color="0A192F"/>
            </w:tcBorders>
          </w:tcPr>
          <w:p>
            <w:pPr>
              <w:spacing w:before="80" w:after="80"/>
              <w:jc w:val="right"/>
              <w:bidi w:val="1"/>
            </w:pPr>
            <w:r/>
            <w:r>
              <w:rPr>
                <w:rFonts w:ascii="Calibri" w:hAnsi="Calibri"/>
                <w:b/>
                <w:color w:val="F8FAFC"/>
                <w:sz w:val="20"/>
                <w:rtl w:val="1"/>
              </w:rPr>
              <w:t>الهدف</w:t>
            </w:r>
          </w:p>
        </w:tc>
        <w:tc>
          <w:tcPr>
            <w:tcW w:type="dxa" w:w="2880"/>
            <w:shd w:val="clear" w:color="auto" w:fill="0A192F"/>
            <w:tcBorders>
              <w:top w:val="single" w:sz="4" w:space="0" w:color="0A192F"/>
              <w:left w:val="single" w:sz="4" w:space="0" w:color="0A192F"/>
              <w:bottom w:val="single" w:sz="4" w:space="0" w:color="0A192F"/>
              <w:right w:val="single" w:sz="4" w:space="0" w:color="0A192F"/>
            </w:tcBorders>
          </w:tcPr>
          <w:p>
            <w:pPr>
              <w:spacing w:before="80" w:after="80"/>
              <w:jc w:val="right"/>
              <w:bidi w:val="1"/>
            </w:pPr>
            <w:r/>
            <w:r>
              <w:rPr>
                <w:rFonts w:ascii="Calibri" w:hAnsi="Calibri"/>
                <w:b/>
                <w:color w:val="F8FAFC"/>
                <w:sz w:val="20"/>
                <w:rtl w:val="1"/>
              </w:rPr>
              <w:t>الناتج المتوقع</w:t>
            </w:r>
          </w:p>
        </w:tc>
      </w:tr>
      <w:tr>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الشهر 1</w:t>
            </w:r>
          </w:p>
        </w:tc>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أساسيات Python</w:t>
            </w:r>
          </w:p>
        </w:tc>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إتقان أساسيات البرمجة بلغة بايثون</w:t>
            </w:r>
          </w:p>
        </w:tc>
      </w:tr>
      <w:tr>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الشهر 2</w:t>
            </w:r>
          </w:p>
        </w:tc>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أساسيات الذكاء الاصطناعي</w:t>
            </w:r>
          </w:p>
        </w:tc>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فهم المفاهيم الأساسية (تعلم آلي، بيانات، نماذج)</w:t>
            </w:r>
          </w:p>
        </w:tc>
      </w:tr>
      <w:tr>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الشهر 3</w:t>
            </w:r>
          </w:p>
        </w:tc>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مشروع بسيط</w:t>
            </w:r>
          </w:p>
        </w:tc>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مشروع عملي صغير يُضاف إلى ملف الأعمال</w:t>
            </w:r>
          </w:p>
        </w:tc>
      </w:tr>
      <w:tr>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الشهر 4</w:t>
            </w:r>
          </w:p>
        </w:tc>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بناء CV + Portfolio</w:t>
            </w:r>
          </w:p>
        </w:tc>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سيرة ذاتية وملف أعمال جاهزان للتقديم</w:t>
            </w:r>
          </w:p>
        </w:tc>
      </w:tr>
      <w:tr>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بعد الشهر 4</w:t>
            </w:r>
          </w:p>
        </w:tc>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فرص تدريب مناسبة</w:t>
            </w:r>
          </w:p>
        </w:tc>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ترشيح فرص تدريب وتطوع تتناسب مع المهارات المكتسبة</w:t>
            </w:r>
          </w:p>
        </w:tc>
      </w:tr>
    </w:tbl>
    <w:p>
      <w:pPr>
        <w:spacing w:after="120"/>
      </w:pPr>
    </w:p>
    <w:p>
      <w:pPr>
        <w:pBdr>
          <w:bottom w:val="single" w:sz="6" w:space="1" w:color="B8956B"/>
        </w:pBdr>
        <w:spacing w:before="160" w:after="160"/>
      </w:pPr>
    </w:p>
    <w:p>
      <w:pPr>
        <w:pStyle w:val="Heading1"/>
        <w:spacing w:before="360" w:after="160"/>
        <w:jc w:val="right"/>
        <w:keepNext/>
        <w:bidi w:val="1"/>
        <w:pBdr>
          <w:bottom w:val="single" w:sz="12" w:space="6" w:color="B8956B"/>
        </w:pBdr>
      </w:pPr>
      <w:r>
        <w:rPr>
          <w:rFonts w:ascii="Calibri" w:hAnsi="Calibri"/>
          <w:b/>
          <w:color w:val="0A192F"/>
          <w:sz w:val="44"/>
          <w:rtl w:val="1"/>
        </w:rPr>
        <w:t>الميزة التنافسية</w:t>
      </w:r>
    </w:p>
    <w:p>
      <w:pPr>
        <w:spacing w:after="160" w:line="276" w:lineRule="auto"/>
        <w:jc w:val="right"/>
        <w:bidi w:val="1"/>
      </w:pPr>
      <w:r>
        <w:rPr>
          <w:rFonts w:ascii="Calibri" w:hAnsi="Calibri"/>
          <w:color w:val="1A202C"/>
          <w:sz w:val="22"/>
          <w:rtl w:val="1"/>
        </w:rPr>
        <w:t>المنصات الحالية (العالمية والمحلية) تقدّم في الغالب قوائم ثابتة من الدورات أو الوظائف، وتترك للمستخدم مهمة الربط بينها. «مسار» يقدّم طبقة التوجيه الناقصة: إجابة مباشرة على سؤال «أين أنا الآن؟ وما الخطوة التالية؟» عبر خريطة شخصية ديناميكية تتغير مع تقدم المستخدم. أبرز المزايا:</w:t>
      </w:r>
    </w:p>
    <w:p>
      <w:pPr>
        <w:spacing w:after="60"/>
        <w:ind w:right="504"/>
        <w:jc w:val="right"/>
        <w:bidi w:val="1"/>
      </w:pPr>
      <w:r>
        <w:rPr>
          <w:rFonts w:ascii="Calibri" w:hAnsi="Calibri"/>
          <w:color w:val="1A202C"/>
          <w:sz w:val="22"/>
          <w:rtl w:val="1"/>
        </w:rPr>
        <w:t>خريطة طريق شخصية وليست قائمة عامة — كل مستخدم يرى مساره الخاص.</w:t>
      </w:r>
      <w:r>
        <w:rPr>
          <w:rFonts w:ascii="Calibri" w:hAnsi="Calibri"/>
          <w:color w:val="B8956B"/>
          <w:sz w:val="22"/>
        </w:rPr>
        <w:t xml:space="preserve">  •</w:t>
      </w:r>
    </w:p>
    <w:p>
      <w:pPr>
        <w:spacing w:after="60"/>
        <w:ind w:right="504"/>
        <w:jc w:val="right"/>
        <w:bidi w:val="1"/>
      </w:pPr>
      <w:r>
        <w:rPr>
          <w:rFonts w:ascii="Calibri" w:hAnsi="Calibri"/>
          <w:color w:val="1A202C"/>
          <w:sz w:val="22"/>
          <w:rtl w:val="1"/>
        </w:rPr>
        <w:t>تكامل بين التعلم والتطبيق: الدورات، ثم المشاريع، ثم الفرص.</w:t>
      </w:r>
      <w:r>
        <w:rPr>
          <w:rFonts w:ascii="Calibri" w:hAnsi="Calibri"/>
          <w:color w:val="B8956B"/>
          <w:sz w:val="22"/>
        </w:rPr>
        <w:t xml:space="preserve">  •</w:t>
      </w:r>
    </w:p>
    <w:p>
      <w:pPr>
        <w:spacing w:after="60"/>
        <w:ind w:right="504"/>
        <w:jc w:val="right"/>
        <w:bidi w:val="1"/>
      </w:pPr>
      <w:r>
        <w:rPr>
          <w:rFonts w:ascii="Calibri" w:hAnsi="Calibri"/>
          <w:color w:val="1A202C"/>
          <w:sz w:val="22"/>
          <w:rtl w:val="1"/>
        </w:rPr>
        <w:t>لغة محلية (عربية وإنجليزية) وفهم لسياق السوق العُماني والخليجي.</w:t>
      </w:r>
      <w:r>
        <w:rPr>
          <w:rFonts w:ascii="Calibri" w:hAnsi="Calibri"/>
          <w:color w:val="B8956B"/>
          <w:sz w:val="22"/>
        </w:rPr>
        <w:t xml:space="preserve">  •</w:t>
      </w:r>
    </w:p>
    <w:p>
      <w:pPr>
        <w:spacing w:after="60"/>
        <w:ind w:right="504"/>
        <w:jc w:val="right"/>
        <w:bidi w:val="1"/>
      </w:pPr>
      <w:r>
        <w:rPr>
          <w:rFonts w:ascii="Calibri" w:hAnsi="Calibri"/>
          <w:color w:val="1A202C"/>
          <w:sz w:val="22"/>
          <w:rtl w:val="1"/>
        </w:rPr>
        <w:t>تتبع التقدم وتحفيز الاستمرارية عبر إنجازات صغيرة.</w:t>
      </w:r>
      <w:r>
        <w:rPr>
          <w:rFonts w:ascii="Calibri" w:hAnsi="Calibri"/>
          <w:color w:val="B8956B"/>
          <w:sz w:val="22"/>
        </w:rPr>
        <w:t xml:space="preserve">  •</w:t>
      </w:r>
    </w:p>
    <w:p>
      <w:pPr>
        <w:spacing w:after="60"/>
        <w:ind w:right="504"/>
        <w:jc w:val="right"/>
        <w:bidi w:val="1"/>
      </w:pPr>
      <w:r>
        <w:rPr>
          <w:rFonts w:ascii="Calibri" w:hAnsi="Calibri"/>
          <w:color w:val="1A202C"/>
          <w:sz w:val="22"/>
          <w:rtl w:val="1"/>
        </w:rPr>
        <w:t>قابلة للتوسع لاحقًا: تقييم مهارات واختبارات قصيرة تمنح شهادات.</w:t>
      </w:r>
      <w:r>
        <w:rPr>
          <w:rFonts w:ascii="Calibri" w:hAnsi="Calibri"/>
          <w:color w:val="B8956B"/>
          <w:sz w:val="22"/>
        </w:rPr>
        <w:t xml:space="preserve">  •</w:t>
      </w:r>
    </w:p>
    <w:p>
      <w:pPr>
        <w:pBdr>
          <w:bottom w:val="single" w:sz="6" w:space="1" w:color="B8956B"/>
        </w:pBdr>
        <w:spacing w:before="160" w:after="160"/>
      </w:pPr>
    </w:p>
    <w:p>
      <w:pPr>
        <w:pStyle w:val="Heading1"/>
        <w:spacing w:before="360" w:after="160"/>
        <w:jc w:val="right"/>
        <w:keepNext/>
        <w:bidi w:val="1"/>
        <w:pBdr>
          <w:bottom w:val="single" w:sz="12" w:space="6" w:color="B8956B"/>
        </w:pBdr>
      </w:pPr>
      <w:r>
        <w:rPr>
          <w:rFonts w:ascii="Calibri" w:hAnsi="Calibri"/>
          <w:b/>
          <w:color w:val="0A192F"/>
          <w:sz w:val="44"/>
          <w:rtl w:val="1"/>
        </w:rPr>
        <w:t>السوق والجمهور المستهدف</w:t>
      </w:r>
    </w:p>
    <w:p>
      <w:pPr>
        <w:spacing w:after="160" w:line="276" w:lineRule="auto"/>
        <w:jc w:val="right"/>
        <w:bidi w:val="1"/>
      </w:pPr>
      <w:r>
        <w:rPr>
          <w:rFonts w:ascii="Calibri" w:hAnsi="Calibri"/>
          <w:color w:val="1A202C"/>
          <w:sz w:val="22"/>
          <w:rtl w:val="1"/>
        </w:rPr>
        <w:t>يبلغ إجمالي سكان سلطنة عُمان نحو 5.4 مليون نسمة (بيانات المركز الوطني للإحصاء والمعلومات، أغسطس 2026)، وتشكّل فئة الشباب شريحة واسعة ومتنامية، مدعومة باهتمام حكومي واضح بتمكين الشباب ضمن رؤية عُمان 2040 ومبادرات التوظيف والتدريب. الجمهور الأساسي:</w:t>
      </w:r>
    </w:p>
    <w:p>
      <w:pPr>
        <w:spacing w:after="60"/>
        <w:ind w:right="504"/>
        <w:jc w:val="right"/>
        <w:bidi w:val="1"/>
      </w:pPr>
      <w:r>
        <w:rPr>
          <w:rFonts w:ascii="Calibri" w:hAnsi="Calibri"/>
          <w:color w:val="1A202C"/>
          <w:sz w:val="22"/>
          <w:rtl w:val="1"/>
        </w:rPr>
        <w:t>طلاب الجامعات والمدارس الثانوية الباحثون عن اتجاه واضح.</w:t>
      </w:r>
      <w:r>
        <w:rPr>
          <w:rFonts w:ascii="Calibri" w:hAnsi="Calibri"/>
          <w:color w:val="B8956B"/>
          <w:sz w:val="22"/>
        </w:rPr>
        <w:t xml:space="preserve">  •</w:t>
      </w:r>
    </w:p>
    <w:p>
      <w:pPr>
        <w:spacing w:after="60"/>
        <w:ind w:right="504"/>
        <w:jc w:val="right"/>
        <w:bidi w:val="1"/>
      </w:pPr>
      <w:r>
        <w:rPr>
          <w:rFonts w:ascii="Calibri" w:hAnsi="Calibri"/>
          <w:color w:val="1A202C"/>
          <w:sz w:val="22"/>
          <w:rtl w:val="1"/>
        </w:rPr>
        <w:t>خريجون يبحثون عن عمل أو تدريب في تخصصاتهم أو خارجها.</w:t>
      </w:r>
      <w:r>
        <w:rPr>
          <w:rFonts w:ascii="Calibri" w:hAnsi="Calibri"/>
          <w:color w:val="B8956B"/>
          <w:sz w:val="22"/>
        </w:rPr>
        <w:t xml:space="preserve">  •</w:t>
      </w:r>
    </w:p>
    <w:p>
      <w:pPr>
        <w:spacing w:after="60"/>
        <w:ind w:right="504"/>
        <w:jc w:val="right"/>
        <w:bidi w:val="1"/>
      </w:pPr>
      <w:r>
        <w:rPr>
          <w:rFonts w:ascii="Calibri" w:hAnsi="Calibri"/>
          <w:color w:val="1A202C"/>
          <w:sz w:val="22"/>
          <w:rtl w:val="1"/>
        </w:rPr>
        <w:t>شباب يرغبون في تغيير مسارهم المهني واكتساب مهارات جديدة.</w:t>
      </w:r>
      <w:r>
        <w:rPr>
          <w:rFonts w:ascii="Calibri" w:hAnsi="Calibri"/>
          <w:color w:val="B8956B"/>
          <w:sz w:val="22"/>
        </w:rPr>
        <w:t xml:space="preserve">  •</w:t>
      </w:r>
    </w:p>
    <w:p>
      <w:pPr>
        <w:spacing w:after="60"/>
        <w:ind w:right="504"/>
        <w:jc w:val="right"/>
        <w:bidi w:val="1"/>
      </w:pPr>
      <w:r>
        <w:rPr>
          <w:rFonts w:ascii="Calibri" w:hAnsi="Calibri"/>
          <w:color w:val="1A202C"/>
          <w:sz w:val="22"/>
          <w:rtl w:val="1"/>
        </w:rPr>
        <w:t>جهات التدريب والحاضنات والشركات التي تبحث عن مواهب شابة.</w:t>
      </w:r>
      <w:r>
        <w:rPr>
          <w:rFonts w:ascii="Calibri" w:hAnsi="Calibri"/>
          <w:color w:val="B8956B"/>
          <w:sz w:val="22"/>
        </w:rPr>
        <w:t xml:space="preserve">  •</w:t>
      </w:r>
    </w:p>
    <w:p>
      <w:pPr>
        <w:spacing w:after="160" w:line="276" w:lineRule="auto"/>
        <w:jc w:val="right"/>
        <w:bidi w:val="1"/>
      </w:pPr>
      <w:r>
        <w:rPr>
          <w:rFonts w:ascii="Calibri" w:hAnsi="Calibri"/>
          <w:color w:val="1A202C"/>
          <w:sz w:val="22"/>
          <w:rtl w:val="1"/>
        </w:rPr>
        <w:t>يمكن التوسع لاحقًا إلى دول الخليج العربي، حيث التركيبة السكانية شابة مماثلة.</w:t>
      </w:r>
    </w:p>
    <w:p>
      <w:pPr>
        <w:pBdr>
          <w:bottom w:val="single" w:sz="6" w:space="1" w:color="B8956B"/>
        </w:pBdr>
        <w:spacing w:before="160" w:after="160"/>
      </w:pPr>
    </w:p>
    <w:p>
      <w:pPr>
        <w:pStyle w:val="Heading1"/>
        <w:spacing w:before="360" w:after="160"/>
        <w:jc w:val="right"/>
        <w:keepNext/>
        <w:bidi w:val="1"/>
        <w:pBdr>
          <w:bottom w:val="single" w:sz="12" w:space="6" w:color="B8956B"/>
        </w:pBdr>
      </w:pPr>
      <w:r>
        <w:rPr>
          <w:rFonts w:ascii="Calibri" w:hAnsi="Calibri"/>
          <w:b/>
          <w:color w:val="0A192F"/>
          <w:sz w:val="44"/>
          <w:rtl w:val="1"/>
        </w:rPr>
        <w:t>نموذج العمل</w:t>
      </w:r>
    </w:p>
    <w:p>
      <w:pPr>
        <w:spacing w:after="160" w:line="276" w:lineRule="auto"/>
        <w:jc w:val="right"/>
        <w:bidi w:val="1"/>
      </w:pPr>
      <w:r>
        <w:rPr>
          <w:rFonts w:ascii="Calibri" w:hAnsi="Calibri"/>
          <w:color w:val="1A202C"/>
          <w:sz w:val="22"/>
          <w:rtl w:val="1"/>
        </w:rPr>
        <w:t>يعتمد «مسار» على ثلاثة مصادر إيرادات متكاملة، يبدأ أولها مع المستخدمين، ويزداد وزن الثاني مع نمو عدد الجهات:</w:t>
      </w:r>
    </w:p>
    <w:tbl>
      <w:tblPr>
        <w:tblStyle w:val="TableGrid"/>
        <w:tblW w:type="auto" w:w="0"/>
        <w:tblLayout w:type="autofit"/>
        <w:tblLook w:firstColumn="1" w:firstRow="1" w:lastColumn="0" w:lastRow="0" w:noHBand="0" w:noVBand="1" w:val="04A0"/>
      </w:tblPr>
      <w:tblGrid>
        <w:gridCol w:w="2880"/>
        <w:gridCol w:w="2880"/>
        <w:gridCol w:w="2880"/>
      </w:tblGrid>
      <w:tr>
        <w:tc>
          <w:tcPr>
            <w:tcW w:type="dxa" w:w="2880"/>
            <w:shd w:val="clear" w:color="auto" w:fill="0A192F"/>
            <w:tcBorders>
              <w:top w:val="single" w:sz="4" w:space="0" w:color="0A192F"/>
              <w:left w:val="single" w:sz="4" w:space="0" w:color="0A192F"/>
              <w:bottom w:val="single" w:sz="4" w:space="0" w:color="0A192F"/>
              <w:right w:val="single" w:sz="4" w:space="0" w:color="0A192F"/>
            </w:tcBorders>
          </w:tcPr>
          <w:p>
            <w:pPr>
              <w:spacing w:before="80" w:after="80"/>
              <w:jc w:val="right"/>
              <w:bidi w:val="1"/>
            </w:pPr>
            <w:r/>
            <w:r>
              <w:rPr>
                <w:rFonts w:ascii="Calibri" w:hAnsi="Calibri"/>
                <w:b/>
                <w:color w:val="F8FAFC"/>
                <w:sz w:val="20"/>
                <w:rtl w:val="1"/>
              </w:rPr>
              <w:t>مصدر الإيراد</w:t>
            </w:r>
          </w:p>
        </w:tc>
        <w:tc>
          <w:tcPr>
            <w:tcW w:type="dxa" w:w="2880"/>
            <w:shd w:val="clear" w:color="auto" w:fill="0A192F"/>
            <w:tcBorders>
              <w:top w:val="single" w:sz="4" w:space="0" w:color="0A192F"/>
              <w:left w:val="single" w:sz="4" w:space="0" w:color="0A192F"/>
              <w:bottom w:val="single" w:sz="4" w:space="0" w:color="0A192F"/>
              <w:right w:val="single" w:sz="4" w:space="0" w:color="0A192F"/>
            </w:tcBorders>
          </w:tcPr>
          <w:p>
            <w:pPr>
              <w:spacing w:before="80" w:after="80"/>
              <w:jc w:val="right"/>
              <w:bidi w:val="1"/>
            </w:pPr>
            <w:r/>
            <w:r>
              <w:rPr>
                <w:rFonts w:ascii="Calibri" w:hAnsi="Calibri"/>
                <w:b/>
                <w:color w:val="F8FAFC"/>
                <w:sz w:val="20"/>
                <w:rtl w:val="1"/>
              </w:rPr>
              <w:t>الوصف</w:t>
            </w:r>
          </w:p>
        </w:tc>
        <w:tc>
          <w:tcPr>
            <w:tcW w:type="dxa" w:w="2880"/>
            <w:shd w:val="clear" w:color="auto" w:fill="0A192F"/>
            <w:tcBorders>
              <w:top w:val="single" w:sz="4" w:space="0" w:color="0A192F"/>
              <w:left w:val="single" w:sz="4" w:space="0" w:color="0A192F"/>
              <w:bottom w:val="single" w:sz="4" w:space="0" w:color="0A192F"/>
              <w:right w:val="single" w:sz="4" w:space="0" w:color="0A192F"/>
            </w:tcBorders>
          </w:tcPr>
          <w:p>
            <w:pPr>
              <w:spacing w:before="80" w:after="80"/>
              <w:jc w:val="right"/>
              <w:bidi w:val="1"/>
            </w:pPr>
            <w:r/>
            <w:r>
              <w:rPr>
                <w:rFonts w:ascii="Calibri" w:hAnsi="Calibri"/>
                <w:b/>
                <w:color w:val="F8FAFC"/>
                <w:sz w:val="20"/>
                <w:rtl w:val="1"/>
              </w:rPr>
              <w:t>النموذج المقترح (تقديري)</w:t>
            </w:r>
          </w:p>
        </w:tc>
      </w:tr>
      <w:tr>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اشتراك المستخدم المميز</w:t>
            </w:r>
          </w:p>
        </w:tc>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خرائط متقدمة، متابعة أسبوعية، شهادات إنجاز، أولوية في الترشيحات</w:t>
            </w:r>
          </w:p>
        </w:tc>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1.5 – 3 ريالات عمانية شهريًا</w:t>
            </w:r>
          </w:p>
        </w:tc>
      </w:tr>
      <w:tr>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اشتراكات الجهات</w:t>
            </w:r>
          </w:p>
        </w:tc>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نشر الفرص والوصول إلى الشباب المناسبين ولوحات بيانات</w:t>
            </w:r>
          </w:p>
        </w:tc>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50 – 300 ريال شهريًا حسب حجم الجهة (تقديري)</w:t>
            </w:r>
          </w:p>
        </w:tc>
      </w:tr>
      <w:tr>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شراكات استراتيجية</w:t>
            </w:r>
          </w:p>
        </w:tc>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مؤسسات تعليمية وشركات: محتوى مدعوم ومسارات موجهة لاحتياجاتها</w:t>
            </w:r>
          </w:p>
        </w:tc>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اتفاقيات سنوية</w:t>
            </w:r>
          </w:p>
        </w:tc>
      </w:tr>
      <w:tr>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إيرادات مستقبلية</w:t>
            </w:r>
          </w:p>
        </w:tc>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تقييم المهارات واختبارات قصيرة معتمدة</w:t>
            </w:r>
          </w:p>
        </w:tc>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رسوم لكل اختبار</w:t>
            </w:r>
          </w:p>
        </w:tc>
      </w:tr>
    </w:tbl>
    <w:p>
      <w:pPr>
        <w:spacing w:after="120"/>
      </w:pPr>
    </w:p>
    <w:tbl>
      <w:tblPr>
        <w:tblW w:type="auto" w:w="0"/>
        <w:tblLook w:firstColumn="1" w:firstRow="1" w:lastColumn="0" w:lastRow="0" w:noHBand="0" w:noVBand="1" w:val="04A0"/>
      </w:tblPr>
      <w:tblGrid>
        <w:gridCol w:w="8640"/>
      </w:tblGrid>
      <w:tr>
        <w:tc>
          <w:tcPr>
            <w:tcW w:type="dxa" w:w="8640"/>
            <w:shd w:val="clear" w:color="auto" w:fill="FFFBEB"/>
            <w:tcBorders>
              <w:top w:val="single" w:sz="4" w:space="0" w:color="FFFBEB"/>
              <w:left w:val="single" w:sz="24" w:space="0" w:color="D97706"/>
              <w:bottom w:val="single" w:sz="4" w:space="0" w:color="FFFBEB"/>
              <w:right w:val="single" w:sz="4" w:space="0" w:color="FFFBEB"/>
            </w:tcBorders>
          </w:tcPr>
          <w:p>
            <w:pPr>
              <w:spacing w:before="120" w:after="120"/>
              <w:jc w:val="right"/>
              <w:bidi w:val="1"/>
            </w:pPr>
            <w:r>
              <w:rPr>
                <w:rFonts w:ascii="Calibri" w:hAnsi="Calibri"/>
                <w:b/>
                <w:color w:val="D97706"/>
                <w:sz w:val="18"/>
              </w:rPr>
              <w:t xml:space="preserve">WARNING  </w:t>
            </w:r>
            <w:r>
              <w:rPr>
                <w:rFonts w:ascii="Calibri" w:hAnsi="Calibri"/>
                <w:color w:val="1A202C"/>
                <w:sz w:val="20"/>
                <w:rtl w:val="1"/>
              </w:rPr>
              <w:t>الأسعار أعلاه تقديرات مبدئية فقط. يجب اختبار الاستعداد للدفع مع عينة صغيرة من المستخدمين والجهات قبل اعتماد الأسعار النهائية.</w:t>
            </w:r>
          </w:p>
        </w:tc>
      </w:tr>
    </w:tbl>
    <w:p>
      <w:pPr>
        <w:spacing w:after="80"/>
      </w:pPr>
    </w:p>
    <w:p>
      <w:pPr>
        <w:pBdr>
          <w:bottom w:val="single" w:sz="6" w:space="1" w:color="B8956B"/>
        </w:pBdr>
        <w:spacing w:before="160" w:after="160"/>
      </w:pPr>
    </w:p>
    <w:p>
      <w:pPr>
        <w:pStyle w:val="Heading1"/>
        <w:spacing w:before="360" w:after="160"/>
        <w:jc w:val="right"/>
        <w:keepNext/>
        <w:bidi w:val="1"/>
        <w:pBdr>
          <w:bottom w:val="single" w:sz="12" w:space="6" w:color="B8956B"/>
        </w:pBdr>
      </w:pPr>
      <w:r>
        <w:rPr>
          <w:rFonts w:ascii="Calibri" w:hAnsi="Calibri"/>
          <w:b/>
          <w:color w:val="0A192F"/>
          <w:sz w:val="44"/>
          <w:rtl w:val="1"/>
        </w:rPr>
        <w:t>خطة التنفيذ المرحلية</w:t>
      </w:r>
    </w:p>
    <w:tbl>
      <w:tblPr>
        <w:tblStyle w:val="TableGrid"/>
        <w:tblW w:type="auto" w:w="0"/>
        <w:tblLayout w:type="autofit"/>
        <w:tblLook w:firstColumn="1" w:firstRow="1" w:lastColumn="0" w:lastRow="0" w:noHBand="0" w:noVBand="1" w:val="04A0"/>
      </w:tblPr>
      <w:tblGrid>
        <w:gridCol w:w="2880"/>
        <w:gridCol w:w="2880"/>
        <w:gridCol w:w="2880"/>
      </w:tblGrid>
      <w:tr>
        <w:tc>
          <w:tcPr>
            <w:tcW w:type="dxa" w:w="2880"/>
            <w:shd w:val="clear" w:color="auto" w:fill="0A192F"/>
            <w:tcBorders>
              <w:top w:val="single" w:sz="4" w:space="0" w:color="0A192F"/>
              <w:left w:val="single" w:sz="4" w:space="0" w:color="0A192F"/>
              <w:bottom w:val="single" w:sz="4" w:space="0" w:color="0A192F"/>
              <w:right w:val="single" w:sz="4" w:space="0" w:color="0A192F"/>
            </w:tcBorders>
          </w:tcPr>
          <w:p>
            <w:pPr>
              <w:spacing w:before="80" w:after="80"/>
              <w:jc w:val="right"/>
              <w:bidi w:val="1"/>
            </w:pPr>
            <w:r/>
            <w:r>
              <w:rPr>
                <w:rFonts w:ascii="Calibri" w:hAnsi="Calibri"/>
                <w:b/>
                <w:color w:val="F8FAFC"/>
                <w:sz w:val="20"/>
                <w:rtl w:val="1"/>
              </w:rPr>
              <w:t>المرحلة</w:t>
            </w:r>
          </w:p>
        </w:tc>
        <w:tc>
          <w:tcPr>
            <w:tcW w:type="dxa" w:w="2880"/>
            <w:shd w:val="clear" w:color="auto" w:fill="0A192F"/>
            <w:tcBorders>
              <w:top w:val="single" w:sz="4" w:space="0" w:color="0A192F"/>
              <w:left w:val="single" w:sz="4" w:space="0" w:color="0A192F"/>
              <w:bottom w:val="single" w:sz="4" w:space="0" w:color="0A192F"/>
              <w:right w:val="single" w:sz="4" w:space="0" w:color="0A192F"/>
            </w:tcBorders>
          </w:tcPr>
          <w:p>
            <w:pPr>
              <w:spacing w:before="80" w:after="80"/>
              <w:jc w:val="right"/>
              <w:bidi w:val="1"/>
            </w:pPr>
            <w:r/>
            <w:r>
              <w:rPr>
                <w:rFonts w:ascii="Calibri" w:hAnsi="Calibri"/>
                <w:b/>
                <w:color w:val="F8FAFC"/>
                <w:sz w:val="20"/>
                <w:rtl w:val="1"/>
              </w:rPr>
              <w:t>المدة</w:t>
            </w:r>
          </w:p>
        </w:tc>
        <w:tc>
          <w:tcPr>
            <w:tcW w:type="dxa" w:w="2880"/>
            <w:shd w:val="clear" w:color="auto" w:fill="0A192F"/>
            <w:tcBorders>
              <w:top w:val="single" w:sz="4" w:space="0" w:color="0A192F"/>
              <w:left w:val="single" w:sz="4" w:space="0" w:color="0A192F"/>
              <w:bottom w:val="single" w:sz="4" w:space="0" w:color="0A192F"/>
              <w:right w:val="single" w:sz="4" w:space="0" w:color="0A192F"/>
            </w:tcBorders>
          </w:tcPr>
          <w:p>
            <w:pPr>
              <w:spacing w:before="80" w:after="80"/>
              <w:jc w:val="right"/>
              <w:bidi w:val="1"/>
            </w:pPr>
            <w:r/>
            <w:r>
              <w:rPr>
                <w:rFonts w:ascii="Calibri" w:hAnsi="Calibri"/>
                <w:b/>
                <w:color w:val="F8FAFC"/>
                <w:sz w:val="20"/>
                <w:rtl w:val="1"/>
              </w:rPr>
              <w:t>المخرجات</w:t>
            </w:r>
          </w:p>
        </w:tc>
      </w:tr>
      <w:tr>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التحقق من الفكرة</w:t>
            </w:r>
          </w:p>
        </w:tc>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الشهر 1</w:t>
            </w:r>
          </w:p>
        </w:tc>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مقابلات واستبيانات مع 30–50 شابًا و10 جهات لاختبار الفرضيات</w:t>
            </w:r>
          </w:p>
        </w:tc>
      </w:tr>
      <w:tr>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النسخة الأولية (MVP)</w:t>
            </w:r>
          </w:p>
        </w:tc>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الشهران 2–3</w:t>
            </w:r>
          </w:p>
        </w:tc>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نموذج إدخال بيانات + توليد خريطة طريق + قاعدة فرص أولية</w:t>
            </w:r>
          </w:p>
        </w:tc>
      </w:tr>
      <w:tr>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تجربة بيتا</w:t>
            </w:r>
          </w:p>
        </w:tc>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الأشهر 4–6</w:t>
            </w:r>
          </w:p>
        </w:tc>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100–200 مستخدم و3–5 شركاء، وتحديث الخوارزميات بناءً على الملاحظات</w:t>
            </w:r>
          </w:p>
        </w:tc>
      </w:tr>
      <w:tr>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الإطلاق العام</w:t>
            </w:r>
          </w:p>
        </w:tc>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الأشهر 7–12</w:t>
            </w:r>
          </w:p>
        </w:tc>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إطلاق المنصة، الاشتراكات المدفوعة، توسيع الشراكات مع الجهات</w:t>
            </w:r>
          </w:p>
        </w:tc>
      </w:tr>
    </w:tbl>
    <w:p>
      <w:pPr>
        <w:spacing w:after="120"/>
      </w:pPr>
    </w:p>
    <w:p>
      <w:pPr>
        <w:spacing w:after="160" w:line="276" w:lineRule="auto"/>
        <w:jc w:val="right"/>
        <w:bidi w:val="1"/>
      </w:pPr>
      <w:r>
        <w:rPr>
          <w:rFonts w:ascii="Calibri" w:hAnsi="Calibri"/>
          <w:color w:val="1A202C"/>
          <w:sz w:val="22"/>
          <w:rtl w:val="1"/>
        </w:rPr>
        <w:t>تكلفة المرحلة الأولى تقديرية: مع فريق صغير (2–3 أشخاص) واستخدام أدوات جاهزة، قد تتراوح الميزانية بين 2,000 و5,000 ريال عماني حتى مرحلة البيتا (تقديري)، ويمكن خفضها عبر شراكات تقنية أو دعم برامج ريادة الأعمال المحلية.</w:t>
      </w:r>
    </w:p>
    <w:p>
      <w:pPr>
        <w:pBdr>
          <w:bottom w:val="single" w:sz="6" w:space="1" w:color="B8956B"/>
        </w:pBdr>
        <w:spacing w:before="160" w:after="160"/>
      </w:pPr>
    </w:p>
    <w:p>
      <w:pPr>
        <w:pStyle w:val="Heading1"/>
        <w:spacing w:before="360" w:after="160"/>
        <w:jc w:val="right"/>
        <w:keepNext/>
        <w:bidi w:val="1"/>
        <w:pBdr>
          <w:bottom w:val="single" w:sz="12" w:space="6" w:color="B8956B"/>
        </w:pBdr>
      </w:pPr>
      <w:r>
        <w:rPr>
          <w:rFonts w:ascii="Calibri" w:hAnsi="Calibri"/>
          <w:b/>
          <w:color w:val="0A192F"/>
          <w:sz w:val="44"/>
          <w:rtl w:val="1"/>
        </w:rPr>
        <w:t>المخاطر والتحديات</w:t>
      </w:r>
    </w:p>
    <w:p>
      <w:pPr>
        <w:spacing w:after="60"/>
        <w:ind w:right="504"/>
        <w:jc w:val="right"/>
        <w:bidi w:val="1"/>
      </w:pPr>
      <w:r>
        <w:rPr>
          <w:rFonts w:ascii="Calibri" w:hAnsi="Calibri"/>
          <w:color w:val="1A202C"/>
          <w:sz w:val="22"/>
          <w:rtl w:val="1"/>
        </w:rPr>
        <w:t>دقة التوصيات: اعتماد المستخدم على الخريطة يعني أن أي خطأ يهز الثقة. الحل: تحقق يدوي مبكر من المحتوى، وبناء على مصادر موثوقة فقط.</w:t>
      </w:r>
      <w:r>
        <w:rPr>
          <w:rFonts w:ascii="Calibri" w:hAnsi="Calibri"/>
          <w:color w:val="B8956B"/>
          <w:sz w:val="22"/>
        </w:rPr>
        <w:t xml:space="preserve">  •</w:t>
      </w:r>
    </w:p>
    <w:p>
      <w:pPr>
        <w:spacing w:after="60"/>
        <w:ind w:right="504"/>
        <w:jc w:val="right"/>
        <w:bidi w:val="1"/>
      </w:pPr>
      <w:r>
        <w:rPr>
          <w:rFonts w:ascii="Calibri" w:hAnsi="Calibri"/>
          <w:color w:val="1A202C"/>
          <w:sz w:val="22"/>
          <w:rtl w:val="1"/>
        </w:rPr>
        <w:t>حداثة الفرص: الفرص القديمة تفقد قيمتها. الحل: شراكات مباشرة مع جهات النشر وتحديث منتظم.</w:t>
      </w:r>
      <w:r>
        <w:rPr>
          <w:rFonts w:ascii="Calibri" w:hAnsi="Calibri"/>
          <w:color w:val="B8956B"/>
          <w:sz w:val="22"/>
        </w:rPr>
        <w:t xml:space="preserve">  •</w:t>
      </w:r>
    </w:p>
    <w:p>
      <w:pPr>
        <w:spacing w:after="60"/>
        <w:ind w:right="504"/>
        <w:jc w:val="right"/>
        <w:bidi w:val="1"/>
      </w:pPr>
      <w:r>
        <w:rPr>
          <w:rFonts w:ascii="Calibri" w:hAnsi="Calibri"/>
          <w:color w:val="1A202C"/>
          <w:sz w:val="22"/>
          <w:rtl w:val="1"/>
        </w:rPr>
        <w:t>المنافسة: منصات عالمية كبيرة في التعليم والفرص. الحل: التميّز بالتخصيص العميق واللغة والسياق المحلي.</w:t>
      </w:r>
      <w:r>
        <w:rPr>
          <w:rFonts w:ascii="Calibri" w:hAnsi="Calibri"/>
          <w:color w:val="B8956B"/>
          <w:sz w:val="22"/>
        </w:rPr>
        <w:t xml:space="preserve">  •</w:t>
      </w:r>
    </w:p>
    <w:p>
      <w:pPr>
        <w:spacing w:after="60"/>
        <w:ind w:right="504"/>
        <w:jc w:val="right"/>
        <w:bidi w:val="1"/>
      </w:pPr>
      <w:r>
        <w:rPr>
          <w:rFonts w:ascii="Calibri" w:hAnsi="Calibri"/>
          <w:color w:val="1A202C"/>
          <w:sz w:val="22"/>
          <w:rtl w:val="1"/>
        </w:rPr>
        <w:t>استدامة النموذج: صعوبة الدفع في البداية. الحل: مرحلة مجانية قوية، ثم إقناع عبر القيمة الملموسة.</w:t>
      </w:r>
      <w:r>
        <w:rPr>
          <w:rFonts w:ascii="Calibri" w:hAnsi="Calibri"/>
          <w:color w:val="B8956B"/>
          <w:sz w:val="22"/>
        </w:rPr>
        <w:t xml:space="preserve">  •</w:t>
      </w:r>
    </w:p>
    <w:p>
      <w:pPr>
        <w:spacing w:after="60"/>
        <w:ind w:right="504"/>
        <w:jc w:val="right"/>
        <w:bidi w:val="1"/>
      </w:pPr>
      <w:r>
        <w:rPr>
          <w:rFonts w:ascii="Calibri" w:hAnsi="Calibri"/>
          <w:color w:val="1A202C"/>
          <w:sz w:val="22"/>
          <w:rtl w:val="1"/>
        </w:rPr>
        <w:t>خصوصية البيانات: بيانات الشباب حساسة. الحل: الالتزام بتشريعات حماية البيانات وشفافية كاملة.</w:t>
      </w:r>
      <w:r>
        <w:rPr>
          <w:rFonts w:ascii="Calibri" w:hAnsi="Calibri"/>
          <w:color w:val="B8956B"/>
          <w:sz w:val="22"/>
        </w:rPr>
        <w:t xml:space="preserve">  •</w:t>
      </w:r>
    </w:p>
    <w:p>
      <w:pPr>
        <w:pBdr>
          <w:bottom w:val="single" w:sz="6" w:space="1" w:color="B8956B"/>
        </w:pBdr>
        <w:spacing w:before="160" w:after="160"/>
      </w:pPr>
    </w:p>
    <w:p>
      <w:pPr>
        <w:pStyle w:val="Heading1"/>
        <w:spacing w:before="360" w:after="160"/>
        <w:jc w:val="right"/>
        <w:keepNext/>
        <w:bidi w:val="1"/>
        <w:pBdr>
          <w:bottom w:val="single" w:sz="12" w:space="6" w:color="B8956B"/>
        </w:pBdr>
      </w:pPr>
      <w:r>
        <w:rPr>
          <w:rFonts w:ascii="Calibri" w:hAnsi="Calibri"/>
          <w:b/>
          <w:color w:val="0A192F"/>
          <w:sz w:val="44"/>
          <w:rtl w:val="1"/>
        </w:rPr>
        <w:t>الخلاصة والتوصية</w:t>
      </w:r>
    </w:p>
    <w:p>
      <w:pPr>
        <w:spacing w:after="160" w:line="276" w:lineRule="auto"/>
        <w:jc w:val="right"/>
        <w:bidi w:val="1"/>
      </w:pPr>
      <w:r>
        <w:rPr>
          <w:rFonts w:ascii="Calibri" w:hAnsi="Calibri"/>
          <w:color w:val="1A202C"/>
          <w:sz w:val="22"/>
          <w:rtl w:val="1"/>
        </w:rPr>
        <w:t>المشكلة حقيقية وملموسة، والحل قابل للبناء تدريجيًا حتى كنموذج أولي بسيط. الفكرة لا تتطلب استثمارًا ضخمًا للانطلاق، بل تتطلب التحقق المبكر مع الشباب والجهات. الخطوات الفورية المقترحة:</w:t>
      </w:r>
    </w:p>
    <w:p>
      <w:pPr>
        <w:spacing w:after="60"/>
        <w:ind w:right="504"/>
        <w:jc w:val="right"/>
        <w:bidi w:val="1"/>
      </w:pPr>
      <w:r>
        <w:rPr>
          <w:rFonts w:ascii="Calibri" w:hAnsi="Calibri"/>
          <w:color w:val="1A202C"/>
          <w:sz w:val="22"/>
          <w:rtl w:val="1"/>
        </w:rPr>
        <w:t>توثيق الفكرة في صفحة واحدة (عرض القيمة والميزة التنافسية).</w:t>
      </w:r>
      <w:r>
        <w:rPr>
          <w:rFonts w:ascii="Calibri" w:hAnsi="Calibri"/>
          <w:color w:val="B8956B"/>
          <w:sz w:val="22"/>
        </w:rPr>
        <w:t xml:space="preserve">  1.</w:t>
      </w:r>
    </w:p>
    <w:p>
      <w:pPr>
        <w:spacing w:after="60"/>
        <w:ind w:right="504"/>
        <w:jc w:val="right"/>
        <w:bidi w:val="1"/>
      </w:pPr>
      <w:r>
        <w:rPr>
          <w:rFonts w:ascii="Calibri" w:hAnsi="Calibri"/>
          <w:color w:val="1A202C"/>
          <w:sz w:val="22"/>
          <w:rtl w:val="1"/>
        </w:rPr>
        <w:t>إجراء مقابلات مبدئية مع 10–15 شابًا لفهم احتياجاتهم الفعلية.</w:t>
      </w:r>
      <w:r>
        <w:rPr>
          <w:rFonts w:ascii="Calibri" w:hAnsi="Calibri"/>
          <w:color w:val="B8956B"/>
          <w:sz w:val="22"/>
        </w:rPr>
        <w:t xml:space="preserve">  2.</w:t>
      </w:r>
    </w:p>
    <w:p>
      <w:pPr>
        <w:spacing w:after="60"/>
        <w:ind w:right="504"/>
        <w:jc w:val="right"/>
        <w:bidi w:val="1"/>
      </w:pPr>
      <w:r>
        <w:rPr>
          <w:rFonts w:ascii="Calibri" w:hAnsi="Calibri"/>
          <w:color w:val="1A202C"/>
          <w:sz w:val="22"/>
          <w:rtl w:val="1"/>
        </w:rPr>
        <w:t>بناء نموذج أولي بسيط خلال ثلاثة أشهر (نموذج إدخال + خريطة طريق + قاعدة فرص صغيرة).</w:t>
      </w:r>
      <w:r>
        <w:rPr>
          <w:rFonts w:ascii="Calibri" w:hAnsi="Calibri"/>
          <w:color w:val="B8956B"/>
          <w:sz w:val="22"/>
        </w:rPr>
        <w:t xml:space="preserve">  3.</w:t>
      </w:r>
    </w:p>
    <w:p>
      <w:pPr>
        <w:spacing w:after="60"/>
        <w:ind w:right="504"/>
        <w:jc w:val="right"/>
        <w:bidi w:val="1"/>
      </w:pPr>
      <w:r>
        <w:rPr>
          <w:rFonts w:ascii="Calibri" w:hAnsi="Calibri"/>
          <w:color w:val="1A202C"/>
          <w:sz w:val="22"/>
          <w:rtl w:val="1"/>
        </w:rPr>
        <w:t>اختبار البيتا مع مجموعة مستخدمين و3–5 جهات شريكة.</w:t>
      </w:r>
      <w:r>
        <w:rPr>
          <w:rFonts w:ascii="Calibri" w:hAnsi="Calibri"/>
          <w:color w:val="B8956B"/>
          <w:sz w:val="22"/>
        </w:rPr>
        <w:t xml:space="preserve">  4.</w:t>
      </w:r>
    </w:p>
    <w:p>
      <w:pPr>
        <w:spacing w:after="60"/>
        <w:ind w:right="504"/>
        <w:jc w:val="right"/>
        <w:bidi w:val="1"/>
      </w:pPr>
      <w:r>
        <w:rPr>
          <w:rFonts w:ascii="Calibri" w:hAnsi="Calibri"/>
          <w:color w:val="1A202C"/>
          <w:sz w:val="22"/>
          <w:rtl w:val="1"/>
        </w:rPr>
        <w:t>تقييم الاستعداد للدفع واعتماد الأسعار بناءً على النتائج.</w:t>
      </w:r>
      <w:r>
        <w:rPr>
          <w:rFonts w:ascii="Calibri" w:hAnsi="Calibri"/>
          <w:color w:val="B8956B"/>
          <w:sz w:val="22"/>
        </w:rPr>
        <w:t xml:space="preserve">  5.</w:t>
      </w:r>
    </w:p>
    <w:tbl>
      <w:tblPr>
        <w:tblW w:type="auto" w:w="0"/>
        <w:tblLook w:firstColumn="1" w:firstRow="1" w:lastColumn="0" w:lastRow="0" w:noHBand="0" w:noVBand="1" w:val="04A0"/>
      </w:tblPr>
      <w:tblGrid>
        <w:gridCol w:w="8640"/>
      </w:tblGrid>
      <w:tr>
        <w:tc>
          <w:tcPr>
            <w:tcW w:type="dxa" w:w="8640"/>
            <w:shd w:val="clear" w:color="auto" w:fill="ECFDF5"/>
            <w:tcBorders>
              <w:top w:val="single" w:sz="4" w:space="0" w:color="ECFDF5"/>
              <w:left w:val="single" w:sz="24" w:space="0" w:color="059669"/>
              <w:bottom w:val="single" w:sz="4" w:space="0" w:color="ECFDF5"/>
              <w:right w:val="single" w:sz="4" w:space="0" w:color="ECFDF5"/>
            </w:tcBorders>
          </w:tcPr>
          <w:p>
            <w:pPr>
              <w:spacing w:before="120" w:after="120"/>
              <w:jc w:val="right"/>
              <w:bidi w:val="1"/>
            </w:pPr>
            <w:r>
              <w:rPr>
                <w:rFonts w:ascii="Calibri" w:hAnsi="Calibri"/>
                <w:b/>
                <w:color w:val="059669"/>
                <w:sz w:val="18"/>
              </w:rPr>
              <w:t xml:space="preserve">TIP  </w:t>
            </w:r>
            <w:r>
              <w:rPr>
                <w:rFonts w:ascii="Calibri" w:hAnsi="Calibri"/>
                <w:color w:val="1A202C"/>
                <w:sz w:val="20"/>
                <w:rtl w:val="1"/>
              </w:rPr>
              <w:t>«مسار» يبدأ صغيرًا اليوم، ويتوسع بثقة غدًا — المطلوب أولًا: التحقق، ثم النموذج الأولي، ثم الشركاء.</w:t>
            </w:r>
          </w:p>
        </w:tc>
      </w:tr>
    </w:tbl>
    <w:p>
      <w:pPr>
        <w:spacing w:after="80"/>
      </w:pPr>
    </w:p>
    <w:sectPr w:rsidR="00FC693F" w:rsidRPr="0006063C" w:rsidSect="00034616">
      <w:headerReference w:type="default" r:id="rId9"/>
      <w:headerReference w:type="first" r:id="rId10"/>
      <w:footerReference w:type="default" r:id="rId11"/>
      <w:pgSz w:w="12240" w:h="15840"/>
      <w:pgMar w:top="1440" w:right="1800" w:bottom="1440" w:left="180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6" w:space="4" w:color="B8956B"/>
      </w:pBdr>
    </w:pPr>
    <w:r>
      <w:rPr>
        <w:rFonts w:ascii="Calibri" w:hAnsi="Calibri"/>
        <w:color w:val="1B3A5F"/>
        <w:sz w:val="18"/>
      </w:rPr>
      <w:t xml:space="preserve">Page </w:t>
    </w:r>
    <w:r>
      <w:rPr>
        <w:rFonts w:ascii="Calibri" w:hAnsi="Calibri"/>
        <w:color w:val="1B3A5F"/>
        <w:sz w:val="18"/>
      </w:rPr>
      <w:fldChar w:fldCharType="begin"/>
      <w:instrText>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8" w:space="4" w:color="B8956B"/>
      </w:pBdr>
    </w:pPr>
    <w:r>
      <w:rPr>
        <w:rFonts w:ascii="Calibri" w:hAnsi="Calibri"/>
        <w:color w:val="1B3A5F"/>
        <w:sz w:val="16"/>
      </w:rPr>
      <w:t>مسار — منصة ذكية لتوجيه الشباب نحو الفرص</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